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Layout w:type="fixed"/>
      </w:tblPr>
      <w:tblGrid>
        <w:gridCol w:w="2336"/>
        <w:gridCol w:w="2336"/>
        <w:gridCol w:w="2336"/>
        <w:gridCol w:w="2337"/>
      </w:tblGrid>
      <w:tr>
        <w:tc>
          <w:tcPr>
            <w:tcW w:type="dxa" w:w="2336"/>
          </w:tcPr>
          <w:p w14:paraId="01000000">
            <w:bookmarkStart w:id="1" w:name="_GoBack"/>
            <w:r>
              <w:rPr>
                <w:rFonts w:ascii="Calibri" w:hAnsi="Calibri"/>
                <w:b w:val="1"/>
                <w:color w:val="000000"/>
                <w:sz w:val="24"/>
              </w:rPr>
              <w:t>Наименование</w:t>
            </w:r>
          </w:p>
        </w:tc>
        <w:tc>
          <w:tcPr>
            <w:tcW w:type="dxa" w:w="2336"/>
          </w:tcPr>
          <w:p w14:paraId="02000000">
            <w:r>
              <w:rPr>
                <w:rFonts w:ascii="Calibri" w:hAnsi="Calibri"/>
                <w:b w:val="1"/>
                <w:color w:val="000000"/>
                <w:sz w:val="24"/>
              </w:rPr>
              <w:t>ФЗП за год</w:t>
            </w:r>
          </w:p>
        </w:tc>
        <w:tc>
          <w:tcPr>
            <w:tcW w:type="dxa" w:w="2336"/>
          </w:tcPr>
          <w:p w14:paraId="03000000">
            <w:r>
              <w:rPr>
                <w:rFonts w:ascii="Calibri" w:hAnsi="Calibri"/>
                <w:b w:val="1"/>
                <w:color w:val="000000"/>
                <w:sz w:val="24"/>
              </w:rPr>
              <w:t>Налоги</w:t>
            </w:r>
          </w:p>
        </w:tc>
        <w:tc>
          <w:tcPr>
            <w:tcW w:type="dxa" w:w="2337"/>
          </w:tcPr>
          <w:p w14:paraId="04000000">
            <w:pPr>
              <w:rPr>
                <w:b w:val="1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 xml:space="preserve">Общие затраты </w:t>
            </w:r>
            <w:r>
              <w:rPr>
                <w:rFonts w:ascii="Calibri" w:hAnsi="Calibri"/>
                <w:b w:val="1"/>
                <w:color w:val="000000"/>
                <w:sz w:val="24"/>
              </w:rPr>
              <w:t>школ  за</w:t>
            </w:r>
            <w:r>
              <w:rPr>
                <w:rFonts w:ascii="Calibri" w:hAnsi="Calibri"/>
                <w:b w:val="1"/>
                <w:color w:val="000000"/>
                <w:sz w:val="24"/>
              </w:rPr>
              <w:t xml:space="preserve"> год</w:t>
            </w:r>
          </w:p>
        </w:tc>
      </w:tr>
      <w:tr>
        <w:tc>
          <w:tcPr>
            <w:tcW w:type="dxa" w:w="2336"/>
          </w:tcPr>
          <w:p w14:paraId="05000000">
            <w:r>
              <w:rPr>
                <w:rFonts w:ascii="Times New Roman" w:hAnsi="Times New Roman"/>
                <w:sz w:val="24"/>
              </w:rPr>
              <w:t>Ескенежалская</w:t>
            </w:r>
            <w:r>
              <w:rPr>
                <w:rFonts w:ascii="Times New Roman" w:hAnsi="Times New Roman"/>
                <w:sz w:val="24"/>
              </w:rPr>
              <w:t xml:space="preserve"> основная школа</w:t>
            </w:r>
          </w:p>
        </w:tc>
        <w:tc>
          <w:tcPr>
            <w:tcW w:type="dxa" w:w="2336"/>
          </w:tcPr>
          <w:p w14:paraId="06000000">
            <w:r>
              <w:t>86,034</w:t>
            </w:r>
          </w:p>
        </w:tc>
        <w:tc>
          <w:tcPr>
            <w:tcW w:type="dxa" w:w="2336"/>
          </w:tcPr>
          <w:p w14:paraId="07000000">
            <w:r>
              <w:t>9077</w:t>
            </w:r>
          </w:p>
        </w:tc>
        <w:tc>
          <w:tcPr>
            <w:tcW w:type="dxa" w:w="2337"/>
          </w:tcPr>
          <w:p w14:paraId="08000000">
            <w:r>
              <w:t>95,762</w:t>
            </w:r>
          </w:p>
        </w:tc>
      </w:tr>
    </w:tbl>
    <w:p w14:paraId="09000000">
      <w:pPr>
        <w:ind/>
        <w:jc w:val="center"/>
        <w:rPr>
          <w:rFonts w:ascii="Times New Roman" w:hAnsi="Times New Roman"/>
          <w:b w:val="1"/>
          <w:sz w:val="28"/>
        </w:rPr>
      </w:pPr>
      <w:bookmarkEnd w:id="1"/>
      <w:r>
        <w:rPr>
          <w:rFonts w:ascii="Times New Roman" w:hAnsi="Times New Roman"/>
          <w:b w:val="1"/>
          <w:sz w:val="28"/>
        </w:rPr>
        <w:t>Сводная информация по открытым бюджетам за 2022 год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2022-11-01T16:19:26Z</dcterms:modified>
</cp:coreProperties>
</file>